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pPr>
      <w:r>
        <w:rPr>
          <w:rFonts w:ascii="Arial" w:cs="Arial" w:eastAsia="Arial" w:hAnsi="Arial"/>
          <w:b/>
          <w:bCs/>
          <w:caps/>
          <w:color w:val="C0392B"/>
          <w:sz w:val="18"/>
          <w:szCs w:val="18"/>
        </w:rPr>
        <w:t xml:space="preserve">COMMUNIQUÉ DE PRESSE</w:t>
      </w:r>
    </w:p>
    <w:p>
      <w:pPr>
        <w:pStyle w:val="Heading1"/>
      </w:pPr>
      <w:r>
        <w:rPr>
          <w:rFonts w:ascii="Arial" w:cs="Arial" w:eastAsia="Arial" w:hAnsi="Arial"/>
          <w:b/>
          <w:bCs/>
          <w:color w:val="0D1B2A"/>
          <w:sz w:val="40"/>
          <w:szCs w:val="40"/>
        </w:rPr>
        <w:t xml:space="preserve">AtlantaSanad confirme sa dynamique de croissance et renforce sa performance en 2025</w:t>
      </w:r>
    </w:p>
    <w:p>
      <w:pPr>
        <w:pBdr>
          <w:bottom w:val="single" w:color="C0392B" w:sz="8" w:space="1"/>
        </w:pBdr>
        <w:spacing w:before="0" w:after="240"/>
      </w:pPr>
    </w:p>
    <w:p>
      <w:pPr>
        <w:spacing w:before="0" w:after="280"/>
      </w:pPr>
      <w:r>
        <w:rPr>
          <w:rFonts w:ascii="Georgia" w:cs="Georgia" w:eastAsia="Georgia" w:hAnsi="Georgia"/>
          <w:i/>
          <w:iCs/>
          <w:color w:val="444444"/>
          <w:sz w:val="26"/>
          <w:szCs w:val="26"/>
        </w:rPr>
        <w:t xml:space="preserve">Portée par un partenariat stratégique avec Crédit du Maroc et la vitalité de son réseau, la compagnie affiche un chiffre d'affaires en hausse de 15 % à 6 050 MDH et un résultat net de 466 MDH au titre de l'exercice 2025.</w:t>
      </w:r>
    </w:p>
    <w:p>
      <w:pPr>
        <w:spacing w:before="0" w:after="60"/>
      </w:pPr>
      <w:r>
        <w:rPr>
          <w:rFonts w:ascii="Arial" w:cs="Arial" w:eastAsia="Arial" w:hAnsi="Arial"/>
          <w:color w:val="888888"/>
          <w:sz w:val="18"/>
          <w:szCs w:val="18"/>
        </w:rPr>
        <w:t xml:space="preserve">Rédaction économique  ·  </w:t>
      </w:r>
      <w:r>
        <w:rPr>
          <w:rFonts w:ascii="Arial" w:cs="Arial" w:eastAsia="Arial" w:hAnsi="Arial"/>
          <w:color w:val="888888"/>
          <w:sz w:val="18"/>
          <w:szCs w:val="18"/>
        </w:rPr>
        <w:t xml:space="preserve">Casablanca, 12 mars 2026</w:t>
      </w:r>
    </w:p>
    <w:p>
      <w:pPr>
        <w:pBdr>
          <w:bottom w:val="single" w:color="DDDDDD" w:sz="2" w:space="1"/>
        </w:pBdr>
        <w:spacing w:before="120" w:after="320"/>
      </w:pPr>
    </w:p>
    <w:tbl>
      <w:tblPr>
        <w:tblW w:type="dxa" w:w="9306"/>
        <w:tblBorders>
          <w:top w:val="single" w:color="auto" w:sz="4"/>
          <w:left w:val="single" w:color="auto" w:sz="4"/>
          <w:bottom w:val="single" w:color="auto" w:sz="4"/>
          <w:right w:val="single" w:color="auto" w:sz="4"/>
          <w:insideH w:val="single" w:color="auto" w:sz="4"/>
          <w:insideV w:val="single" w:color="auto" w:sz="4"/>
        </w:tblBorders>
      </w:tblPr>
      <w:tblGrid>
        <w:gridCol w:w="3102"/>
        <w:gridCol w:w="3102"/>
        <w:gridCol w:w="3102"/>
      </w:tblGrid>
      <w:tr>
        <w:tc>
          <w:tcPr>
            <w:tcW w:type="dxa" w:w="3102"/>
            <w:tcBorders>
              <w:top w:val="none" w:color="FFFFFF" w:sz="0"/>
              <w:left w:val="none" w:color="FFFFFF" w:sz="0"/>
              <w:bottom w:val="none" w:color="FFFFFF" w:sz="0"/>
              <w:right w:val="none" w:color="FFFFFF" w:sz="0"/>
            </w:tcBorders>
            <w:shd w:fill="F0F4F8" w:val="clear"/>
            <w:tcMar>
              <w:top w:type="dxa" w:w="140"/>
              <w:left w:type="dxa" w:w="160"/>
              <w:bottom w:type="dxa" w:w="140"/>
              <w:right w:type="dxa" w:w="160"/>
            </w:tcMar>
          </w:tcPr>
          <w:p>
            <w:r>
              <w:rPr>
                <w:rFonts w:ascii="Arial" w:cs="Arial" w:eastAsia="Arial" w:hAnsi="Arial"/>
                <w:b/>
                <w:bCs/>
                <w:caps/>
                <w:color w:val="888888"/>
                <w:sz w:val="16"/>
                <w:szCs w:val="16"/>
              </w:rPr>
              <w:t xml:space="preserve">CHIFFRE D'AFFAIRES 2025</w:t>
            </w:r>
          </w:p>
          <w:p>
            <w:pPr>
              <w:spacing w:before="60" w:after="60"/>
            </w:pPr>
            <w:r>
              <w:rPr>
                <w:rFonts w:ascii="Arial" w:cs="Arial" w:eastAsia="Arial" w:hAnsi="Arial"/>
                <w:b/>
                <w:bCs/>
                <w:color w:val="0D1B2A"/>
                <w:sz w:val="36"/>
                <w:szCs w:val="36"/>
              </w:rPr>
              <w:t xml:space="preserve">6 050 MDH</w:t>
            </w:r>
          </w:p>
          <w:p>
            <w:r>
              <w:rPr>
                <w:rFonts w:ascii="Arial" w:cs="Arial" w:eastAsia="Arial" w:hAnsi="Arial"/>
                <w:color w:val="1E8449"/>
                <w:sz w:val="18"/>
                <w:szCs w:val="18"/>
              </w:rPr>
              <w:t xml:space="preserve">▲ +15,0 % vs 2024</w:t>
            </w:r>
          </w:p>
        </w:tc>
        <w:tc>
          <w:tcPr>
            <w:tcW w:type="dxa" w:w="3102"/>
            <w:tcBorders>
              <w:top w:val="none" w:color="FFFFFF" w:sz="0"/>
              <w:left w:val="none" w:color="FFFFFF" w:sz="0"/>
              <w:bottom w:val="none" w:color="FFFFFF" w:sz="0"/>
              <w:right w:val="none" w:color="FFFFFF" w:sz="0"/>
            </w:tcBorders>
            <w:shd w:fill="F0F4F8" w:val="clear"/>
            <w:tcMar>
              <w:top w:type="dxa" w:w="140"/>
              <w:left w:type="dxa" w:w="160"/>
              <w:bottom w:type="dxa" w:w="140"/>
              <w:right w:type="dxa" w:w="160"/>
            </w:tcMar>
          </w:tcPr>
          <w:p>
            <w:r>
              <w:rPr>
                <w:rFonts w:ascii="Arial" w:cs="Arial" w:eastAsia="Arial" w:hAnsi="Arial"/>
                <w:b/>
                <w:bCs/>
                <w:caps/>
                <w:color w:val="888888"/>
                <w:sz w:val="16"/>
                <w:szCs w:val="16"/>
              </w:rPr>
              <w:t xml:space="preserve">RÉSULTAT NET 2025</w:t>
            </w:r>
          </w:p>
          <w:p>
            <w:pPr>
              <w:spacing w:before="60" w:after="60"/>
            </w:pPr>
            <w:r>
              <w:rPr>
                <w:rFonts w:ascii="Arial" w:cs="Arial" w:eastAsia="Arial" w:hAnsi="Arial"/>
                <w:b/>
                <w:bCs/>
                <w:color w:val="0D1B2A"/>
                <w:sz w:val="36"/>
                <w:szCs w:val="36"/>
              </w:rPr>
              <w:t xml:space="preserve">466 MDH</w:t>
            </w:r>
          </w:p>
          <w:p>
            <w:r>
              <w:rPr>
                <w:rFonts w:ascii="Arial" w:cs="Arial" w:eastAsia="Arial" w:hAnsi="Arial"/>
                <w:color w:val="1E8449"/>
                <w:sz w:val="18"/>
                <w:szCs w:val="18"/>
              </w:rPr>
              <w:t xml:space="preserve">▲ +2,2 % vs 2024</w:t>
            </w:r>
          </w:p>
        </w:tc>
        <w:tc>
          <w:tcPr>
            <w:tcW w:type="dxa" w:w="3102"/>
            <w:tcBorders>
              <w:top w:val="none" w:color="FFFFFF" w:sz="0"/>
              <w:left w:val="none" w:color="FFFFFF" w:sz="0"/>
              <w:bottom w:val="none" w:color="FFFFFF" w:sz="0"/>
              <w:right w:val="none" w:color="FFFFFF" w:sz="0"/>
            </w:tcBorders>
            <w:shd w:fill="F0F4F8" w:val="clear"/>
            <w:tcMar>
              <w:top w:type="dxa" w:w="140"/>
              <w:left w:type="dxa" w:w="160"/>
              <w:bottom w:type="dxa" w:w="140"/>
              <w:right w:type="dxa" w:w="160"/>
            </w:tcMar>
          </w:tcPr>
          <w:p>
            <w:r>
              <w:rPr>
                <w:rFonts w:ascii="Arial" w:cs="Arial" w:eastAsia="Arial" w:hAnsi="Arial"/>
                <w:b/>
                <w:bCs/>
                <w:caps/>
                <w:color w:val="888888"/>
                <w:sz w:val="16"/>
                <w:szCs w:val="16"/>
              </w:rPr>
              <w:t xml:space="preserve">DIVIDENDE PROPOSÉ</w:t>
            </w:r>
          </w:p>
          <w:p>
            <w:pPr>
              <w:spacing w:before="60" w:after="60"/>
            </w:pPr>
            <w:r>
              <w:rPr>
                <w:rFonts w:ascii="Arial" w:cs="Arial" w:eastAsia="Arial" w:hAnsi="Arial"/>
                <w:b/>
                <w:bCs/>
                <w:color w:val="0D1B2A"/>
                <w:sz w:val="36"/>
                <w:szCs w:val="36"/>
              </w:rPr>
              <w:t xml:space="preserve">5,90 DH</w:t>
            </w:r>
          </w:p>
          <w:p>
            <w:r>
              <w:rPr>
                <w:rFonts w:ascii="Arial" w:cs="Arial" w:eastAsia="Arial" w:hAnsi="Arial"/>
                <w:color w:val="888888"/>
                <w:sz w:val="18"/>
                <w:szCs w:val="18"/>
              </w:rPr>
              <w:t xml:space="preserve">par action</w:t>
            </w:r>
          </w:p>
        </w:tc>
      </w:tr>
    </w:tbl>
    <w:p>
      <w:pPr>
        <w:spacing w:before="320" w:after="0"/>
      </w:pPr>
    </w:p>
    <w:p>
      <w:pPr>
        <w:spacing w:before="0" w:after="200"/>
      </w:pPr>
      <w:r>
        <w:rPr>
          <w:rFonts w:ascii="Georgia" w:cs="Georgia" w:eastAsia="Georgia" w:hAnsi="Georgia"/>
          <w:sz w:val="24"/>
          <w:szCs w:val="24"/>
        </w:rPr>
        <w:t xml:space="preserve">Le conseil d'administration d'AtlantaSanad s'est réuni le jeudi 12 mars 2026, sous la présidence de Monsieur Mohamed Hassan Bensalah, afin d'examiner l'activité de la compagnie et d'arrêter les comptes annuels de l'exercice 2025. Les résultats publiés confirment une trajectoire de croissance soutenue, portée par la montée en puissance du segment Vie et la solidité du portefeuille Non-Vie.</w:t>
      </w:r>
    </w:p>
    <w:p>
      <w:pPr>
        <w:pStyle w:val="Heading2"/>
      </w:pPr>
      <w:r>
        <w:rPr>
          <w:rFonts w:ascii="Arial" w:cs="Arial" w:eastAsia="Arial" w:hAnsi="Arial"/>
          <w:b/>
          <w:bCs/>
          <w:color w:val="1A3A5C"/>
          <w:sz w:val="26"/>
          <w:szCs w:val="26"/>
        </w:rPr>
        <w:t xml:space="preserve">Un chiffre d'affaires global en hausse de 15 %</w:t>
      </w:r>
    </w:p>
    <w:p>
      <w:pPr>
        <w:spacing w:before="0" w:after="200"/>
      </w:pPr>
      <w:r>
        <w:rPr>
          <w:rFonts w:ascii="Georgia" w:cs="Georgia" w:eastAsia="Georgia" w:hAnsi="Georgia"/>
          <w:sz w:val="24"/>
          <w:szCs w:val="24"/>
        </w:rPr>
        <w:t xml:space="preserve">AtlantaSanad enregistre un chiffre d'affaires total de </w:t>
      </w:r>
      <w:r>
        <w:rPr>
          <w:rFonts w:ascii="Georgia" w:cs="Georgia" w:eastAsia="Georgia" w:hAnsi="Georgia"/>
          <w:b/>
          <w:bCs/>
          <w:sz w:val="24"/>
          <w:szCs w:val="24"/>
        </w:rPr>
        <w:t xml:space="preserve">6 050 MDH</w:t>
      </w:r>
      <w:r>
        <w:rPr>
          <w:rFonts w:ascii="Georgia" w:cs="Georgia" w:eastAsia="Georgia" w:hAnsi="Georgia"/>
          <w:sz w:val="24"/>
          <w:szCs w:val="24"/>
        </w:rPr>
        <w:t xml:space="preserve"> en 2025, contre </w:t>
      </w:r>
      <w:r>
        <w:rPr>
          <w:rFonts w:ascii="Georgia" w:cs="Georgia" w:eastAsia="Georgia" w:hAnsi="Georgia"/>
          <w:b/>
          <w:bCs/>
          <w:sz w:val="24"/>
          <w:szCs w:val="24"/>
        </w:rPr>
        <w:t xml:space="preserve">5 260 MDH</w:t>
      </w:r>
      <w:r>
        <w:rPr>
          <w:rFonts w:ascii="Georgia" w:cs="Georgia" w:eastAsia="Georgia" w:hAnsi="Georgia"/>
          <w:sz w:val="24"/>
          <w:szCs w:val="24"/>
        </w:rPr>
        <w:t xml:space="preserve"> un an auparavant, soit une progression de </w:t>
      </w:r>
      <w:r>
        <w:rPr>
          <w:rFonts w:ascii="Georgia" w:cs="Georgia" w:eastAsia="Georgia" w:hAnsi="Georgia"/>
          <w:b/>
          <w:bCs/>
          <w:sz w:val="24"/>
          <w:szCs w:val="24"/>
        </w:rPr>
        <w:t xml:space="preserve">+15,0 %</w:t>
      </w:r>
      <w:r>
        <w:rPr>
          <w:rFonts w:ascii="Georgia" w:cs="Georgia" w:eastAsia="Georgia" w:hAnsi="Georgia"/>
          <w:sz w:val="24"/>
          <w:szCs w:val="24"/>
        </w:rPr>
        <w:t xml:space="preserve">. Cette performance reflète l'efficacité des initiatives stratégiques déployées tout au long de l'année.</w:t>
      </w:r>
    </w:p>
    <w:p>
      <w:pPr>
        <w:spacing w:before="0" w:after="200"/>
      </w:pPr>
      <w:r>
        <w:rPr>
          <w:rFonts w:ascii="Georgia" w:cs="Georgia" w:eastAsia="Georgia" w:hAnsi="Georgia"/>
          <w:sz w:val="24"/>
          <w:szCs w:val="24"/>
        </w:rPr>
        <w:t xml:space="preserve">La ventilation entre les deux grandes branches d'activité révèle des dynamiques contrastées. Le chiffre d'affaires </w:t>
      </w:r>
      <w:r>
        <w:rPr>
          <w:rFonts w:ascii="Georgia" w:cs="Georgia" w:eastAsia="Georgia" w:hAnsi="Georgia"/>
          <w:b/>
          <w:bCs/>
          <w:sz w:val="24"/>
          <w:szCs w:val="24"/>
        </w:rPr>
        <w:t xml:space="preserve">Non-Vie</w:t>
      </w:r>
      <w:r>
        <w:rPr>
          <w:rFonts w:ascii="Georgia" w:cs="Georgia" w:eastAsia="Georgia" w:hAnsi="Georgia"/>
          <w:sz w:val="24"/>
          <w:szCs w:val="24"/>
        </w:rPr>
        <w:t xml:space="preserve"> progresse de </w:t>
      </w:r>
      <w:r>
        <w:rPr>
          <w:rFonts w:ascii="Georgia" w:cs="Georgia" w:eastAsia="Georgia" w:hAnsi="Georgia"/>
          <w:b/>
          <w:bCs/>
          <w:sz w:val="24"/>
          <w:szCs w:val="24"/>
        </w:rPr>
        <w:t xml:space="preserve">+6,3 %</w:t>
      </w:r>
      <w:r>
        <w:rPr>
          <w:rFonts w:ascii="Georgia" w:cs="Georgia" w:eastAsia="Georgia" w:hAnsi="Georgia"/>
          <w:sz w:val="24"/>
          <w:szCs w:val="24"/>
        </w:rPr>
        <w:t xml:space="preserve">, passant de </w:t>
      </w:r>
      <w:r>
        <w:rPr>
          <w:rFonts w:ascii="Georgia" w:cs="Georgia" w:eastAsia="Georgia" w:hAnsi="Georgia"/>
          <w:b/>
          <w:bCs/>
          <w:sz w:val="24"/>
          <w:szCs w:val="24"/>
        </w:rPr>
        <w:t xml:space="preserve">4 010 MDH</w:t>
      </w:r>
      <w:r>
        <w:rPr>
          <w:rFonts w:ascii="Georgia" w:cs="Georgia" w:eastAsia="Georgia" w:hAnsi="Georgia"/>
          <w:sz w:val="24"/>
          <w:szCs w:val="24"/>
        </w:rPr>
        <w:t xml:space="preserve"> à </w:t>
      </w:r>
      <w:r>
        <w:rPr>
          <w:rFonts w:ascii="Georgia" w:cs="Georgia" w:eastAsia="Georgia" w:hAnsi="Georgia"/>
          <w:b/>
          <w:bCs/>
          <w:sz w:val="24"/>
          <w:szCs w:val="24"/>
        </w:rPr>
        <w:t xml:space="preserve">4 263 MDH</w:t>
      </w:r>
      <w:r>
        <w:rPr>
          <w:rFonts w:ascii="Georgia" w:cs="Georgia" w:eastAsia="Georgia" w:hAnsi="Georgia"/>
          <w:sz w:val="24"/>
          <w:szCs w:val="24"/>
        </w:rPr>
        <w:t xml:space="preserve">, soutenu par la bonne dynamique du réseau exclusif et la progression de l'activité du courtage. Le chiffre d'affaires </w:t>
      </w:r>
      <w:r>
        <w:rPr>
          <w:rFonts w:ascii="Georgia" w:cs="Georgia" w:eastAsia="Georgia" w:hAnsi="Georgia"/>
          <w:b/>
          <w:bCs/>
          <w:sz w:val="24"/>
          <w:szCs w:val="24"/>
        </w:rPr>
        <w:t xml:space="preserve">Vie</w:t>
      </w:r>
      <w:r>
        <w:rPr>
          <w:rFonts w:ascii="Georgia" w:cs="Georgia" w:eastAsia="Georgia" w:hAnsi="Georgia"/>
          <w:sz w:val="24"/>
          <w:szCs w:val="24"/>
        </w:rPr>
        <w:t xml:space="preserve"> connaît quant à lui une forte accélération de </w:t>
      </w:r>
      <w:r>
        <w:rPr>
          <w:rFonts w:ascii="Georgia" w:cs="Georgia" w:eastAsia="Georgia" w:hAnsi="Georgia"/>
          <w:b/>
          <w:bCs/>
          <w:sz w:val="24"/>
          <w:szCs w:val="24"/>
        </w:rPr>
        <w:t xml:space="preserve">+43,0 %</w:t>
      </w:r>
      <w:r>
        <w:rPr>
          <w:rFonts w:ascii="Georgia" w:cs="Georgia" w:eastAsia="Georgia" w:hAnsi="Georgia"/>
          <w:sz w:val="24"/>
          <w:szCs w:val="24"/>
        </w:rPr>
        <w:t xml:space="preserve">, bondissant de </w:t>
      </w:r>
      <w:r>
        <w:rPr>
          <w:rFonts w:ascii="Georgia" w:cs="Georgia" w:eastAsia="Georgia" w:hAnsi="Georgia"/>
          <w:b/>
          <w:bCs/>
          <w:sz w:val="24"/>
          <w:szCs w:val="24"/>
        </w:rPr>
        <w:t xml:space="preserve">1 250 MDH</w:t>
      </w:r>
      <w:r>
        <w:rPr>
          <w:rFonts w:ascii="Georgia" w:cs="Georgia" w:eastAsia="Georgia" w:hAnsi="Georgia"/>
          <w:sz w:val="24"/>
          <w:szCs w:val="24"/>
        </w:rPr>
        <w:t xml:space="preserve"> à </w:t>
      </w:r>
      <w:r>
        <w:rPr>
          <w:rFonts w:ascii="Georgia" w:cs="Georgia" w:eastAsia="Georgia" w:hAnsi="Georgia"/>
          <w:b/>
          <w:bCs/>
          <w:sz w:val="24"/>
          <w:szCs w:val="24"/>
        </w:rPr>
        <w:t xml:space="preserve">1 787 MDH</w:t>
      </w:r>
      <w:r>
        <w:rPr>
          <w:rFonts w:ascii="Georgia" w:cs="Georgia" w:eastAsia="Georgia" w:hAnsi="Georgia"/>
          <w:sz w:val="24"/>
          <w:szCs w:val="24"/>
        </w:rPr>
        <w:t xml:space="preserve">, portée notamment par le nouveau partenariat stratégique avec Crédit du Maroc et par les partenaires historiques de la compagnie, notamment CIH Bank.</w:t>
      </w:r>
    </w:p>
    <w:p>
      <w:pPr>
        <w:spacing w:before="0" w:after="200"/>
      </w:pPr>
      <w:r>
        <w:rPr>
          <w:rFonts w:ascii="Georgia" w:cs="Georgia" w:eastAsia="Georgia" w:hAnsi="Georgia"/>
          <w:sz w:val="24"/>
          <w:szCs w:val="24"/>
        </w:rPr>
        <w:t xml:space="preserve">Cette forte progression de l'activité Vie se traduit par un rééquilibrage de la structure du portefeuille : la part du segment Vie dans le chiffre d'affaires global s'établit désormais à </w:t>
      </w:r>
      <w:r>
        <w:rPr>
          <w:rFonts w:ascii="Georgia" w:cs="Georgia" w:eastAsia="Georgia" w:hAnsi="Georgia"/>
          <w:b/>
          <w:bCs/>
          <w:sz w:val="24"/>
          <w:szCs w:val="24"/>
        </w:rPr>
        <w:t xml:space="preserve">29,5 %</w:t>
      </w:r>
      <w:r>
        <w:rPr>
          <w:rFonts w:ascii="Georgia" w:cs="Georgia" w:eastAsia="Georgia" w:hAnsi="Georgia"/>
          <w:sz w:val="24"/>
          <w:szCs w:val="24"/>
        </w:rPr>
        <w:t xml:space="preserve">, tout en maintenant une base solide sur les branches Non-Vie.</w:t>
      </w:r>
    </w:p>
    <w:p>
      <w:pPr>
        <w:pStyle w:val="Heading2"/>
      </w:pPr>
      <w:r>
        <w:rPr>
          <w:rFonts w:ascii="Arial" w:cs="Arial" w:eastAsia="Arial" w:hAnsi="Arial"/>
          <w:b/>
          <w:bCs/>
          <w:color w:val="1A3A5C"/>
          <w:sz w:val="26"/>
          <w:szCs w:val="26"/>
        </w:rPr>
        <w:t xml:space="preserve">Maîtrise des coûts et amélioration de l'efficacité opérationnelle</w:t>
      </w:r>
    </w:p>
    <w:p>
      <w:pPr>
        <w:spacing w:before="0" w:after="200"/>
      </w:pPr>
      <w:r>
        <w:rPr>
          <w:rFonts w:ascii="Georgia" w:cs="Georgia" w:eastAsia="Georgia" w:hAnsi="Georgia"/>
          <w:sz w:val="24"/>
          <w:szCs w:val="24"/>
        </w:rPr>
        <w:t xml:space="preserve">AtlantaSanad poursuit ses efforts d'optimisation opérationnelle et de maîtrise des coûts, tout en demeurant attentive à la qualité du portefeuille et à la maîtrise de la sinistralité. Ces actions ont permis une amélioration des principaux ratios de gestion en 2025 et contribuent au renforcement de la performance globale de la compagnie, dans un objectif de création de valeur durable et de maintien de l'équilibre technique sur l'ensemble de ses branches d'activité.</w:t>
      </w:r>
    </w:p>
    <w:p>
      <w:pPr>
        <w:pStyle w:val="Heading2"/>
      </w:pPr>
      <w:r>
        <w:rPr>
          <w:rFonts w:ascii="Arial" w:cs="Arial" w:eastAsia="Arial" w:hAnsi="Arial"/>
          <w:b/>
          <w:bCs/>
          <w:color w:val="1A3A5C"/>
          <w:sz w:val="26"/>
          <w:szCs w:val="26"/>
        </w:rPr>
        <w:t xml:space="preserve">Un résultat financier et un résultat net en progression</w:t>
      </w:r>
    </w:p>
    <w:p>
      <w:pPr>
        <w:spacing w:before="0" w:after="200"/>
      </w:pPr>
      <w:r>
        <w:rPr>
          <w:rFonts w:ascii="Georgia" w:cs="Georgia" w:eastAsia="Georgia" w:hAnsi="Georgia"/>
          <w:sz w:val="24"/>
          <w:szCs w:val="24"/>
        </w:rPr>
        <w:t xml:space="preserve">Le résultat financier bénéficie d'un contexte de marché favorable et d'une gestion active et diversifiée du portefeuille d'investissements, contribuant positivement à la rentabilité de la compagnie.</w:t>
      </w:r>
    </w:p>
    <w:p>
      <w:pPr>
        <w:spacing w:before="0" w:after="200"/>
      </w:pPr>
      <w:r>
        <w:rPr>
          <w:rFonts w:ascii="Georgia" w:cs="Georgia" w:eastAsia="Georgia" w:hAnsi="Georgia"/>
          <w:sz w:val="24"/>
          <w:szCs w:val="24"/>
        </w:rPr>
        <w:t xml:space="preserve">Le résultat net s'établit à </w:t>
      </w:r>
      <w:r>
        <w:rPr>
          <w:rFonts w:ascii="Georgia" w:cs="Georgia" w:eastAsia="Georgia" w:hAnsi="Georgia"/>
          <w:b/>
          <w:bCs/>
          <w:sz w:val="24"/>
          <w:szCs w:val="24"/>
        </w:rPr>
        <w:t xml:space="preserve">466 MDH</w:t>
      </w:r>
      <w:r>
        <w:rPr>
          <w:rFonts w:ascii="Georgia" w:cs="Georgia" w:eastAsia="Georgia" w:hAnsi="Georgia"/>
          <w:sz w:val="24"/>
          <w:szCs w:val="24"/>
        </w:rPr>
        <w:t xml:space="preserve"> au titre de l'exercice 2025, en progression de </w:t>
      </w:r>
      <w:r>
        <w:rPr>
          <w:rFonts w:ascii="Georgia" w:cs="Georgia" w:eastAsia="Georgia" w:hAnsi="Georgia"/>
          <w:b/>
          <w:bCs/>
          <w:sz w:val="24"/>
          <w:szCs w:val="24"/>
        </w:rPr>
        <w:t xml:space="preserve">+2,2 %</w:t>
      </w:r>
      <w:r>
        <w:rPr>
          <w:rFonts w:ascii="Georgia" w:cs="Georgia" w:eastAsia="Georgia" w:hAnsi="Georgia"/>
          <w:sz w:val="24"/>
          <w:szCs w:val="24"/>
        </w:rPr>
        <w:t xml:space="preserve"> par rapport aux </w:t>
      </w:r>
      <w:r>
        <w:rPr>
          <w:rFonts w:ascii="Georgia" w:cs="Georgia" w:eastAsia="Georgia" w:hAnsi="Georgia"/>
          <w:b/>
          <w:bCs/>
          <w:sz w:val="24"/>
          <w:szCs w:val="24"/>
        </w:rPr>
        <w:t xml:space="preserve">456 MDH</w:t>
      </w:r>
      <w:r>
        <w:rPr>
          <w:rFonts w:ascii="Georgia" w:cs="Georgia" w:eastAsia="Georgia" w:hAnsi="Georgia"/>
          <w:sz w:val="24"/>
          <w:szCs w:val="24"/>
        </w:rPr>
        <w:t xml:space="preserve"> enregistrés en 2024. Cette performance traduit la solidité du modèle économique de la compagnie, la croissance de son activité commerciale ainsi que la contribution positive des revenus financiers. Le résultat consolidé suit la même tendance, avec une progression de </w:t>
      </w:r>
      <w:r>
        <w:rPr>
          <w:rFonts w:ascii="Georgia" w:cs="Georgia" w:eastAsia="Georgia" w:hAnsi="Georgia"/>
          <w:b/>
          <w:bCs/>
          <w:sz w:val="24"/>
          <w:szCs w:val="24"/>
        </w:rPr>
        <w:t xml:space="preserve">+3,3 %</w:t>
      </w:r>
      <w:r>
        <w:rPr>
          <w:rFonts w:ascii="Georgia" w:cs="Georgia" w:eastAsia="Georgia" w:hAnsi="Georgia"/>
          <w:sz w:val="24"/>
          <w:szCs w:val="24"/>
        </w:rPr>
        <w:t xml:space="preserve"> pour atteindre </w:t>
      </w:r>
      <w:r>
        <w:rPr>
          <w:rFonts w:ascii="Georgia" w:cs="Georgia" w:eastAsia="Georgia" w:hAnsi="Georgia"/>
          <w:b/>
          <w:bCs/>
          <w:sz w:val="24"/>
          <w:szCs w:val="24"/>
        </w:rPr>
        <w:t xml:space="preserve">468 MDH</w:t>
      </w:r>
      <w:r>
        <w:rPr>
          <w:rFonts w:ascii="Georgia" w:cs="Georgia" w:eastAsia="Georgia" w:hAnsi="Georgia"/>
          <w:sz w:val="24"/>
          <w:szCs w:val="24"/>
        </w:rPr>
        <w:t xml:space="preserve">.</w:t>
      </w:r>
    </w:p>
    <w:p>
      <w:pPr>
        <w:pBdr>
          <w:left w:val="single" w:color="C0392B" w:sz="18" w:space="12"/>
        </w:pBdr>
        <w:spacing w:before="240" w:after="240"/>
        <w:ind w:left="400"/>
      </w:pPr>
      <w:r>
        <w:rPr>
          <w:rFonts w:ascii="Georgia" w:cs="Georgia" w:eastAsia="Georgia" w:hAnsi="Georgia"/>
          <w:i/>
          <w:iCs/>
          <w:color w:val="555555"/>
          <w:sz w:val="26"/>
          <w:szCs w:val="26"/>
        </w:rPr>
        <w:t xml:space="preserve">« Le résultat consolidé suit la même tendance avec une progression de +3,3 %, atteignant 468 MDH. »</w:t>
      </w:r>
    </w:p>
    <w:p>
      <w:pPr>
        <w:pStyle w:val="Heading2"/>
      </w:pPr>
      <w:r>
        <w:rPr>
          <w:rFonts w:ascii="Arial" w:cs="Arial" w:eastAsia="Arial" w:hAnsi="Arial"/>
          <w:b/>
          <w:bCs/>
          <w:color w:val="1A3A5C"/>
          <w:sz w:val="26"/>
          <w:szCs w:val="26"/>
        </w:rPr>
        <w:t xml:space="preserve">Distribution d'un dividende de 5,90 dirhams par action</w:t>
      </w:r>
    </w:p>
    <w:p>
      <w:pPr>
        <w:spacing w:before="0" w:after="200"/>
      </w:pPr>
      <w:r>
        <w:rPr>
          <w:rFonts w:ascii="Georgia" w:cs="Georgia" w:eastAsia="Georgia" w:hAnsi="Georgia"/>
          <w:sz w:val="24"/>
          <w:szCs w:val="24"/>
        </w:rPr>
        <w:t xml:space="preserve">Le Conseil d'Administration a décidé de proposer à l'Assemblée Générale Ordinaire la distribution d'un dividende de </w:t>
      </w:r>
      <w:r>
        <w:rPr>
          <w:rFonts w:ascii="Georgia" w:cs="Georgia" w:eastAsia="Georgia" w:hAnsi="Georgia"/>
          <w:b/>
          <w:bCs/>
          <w:sz w:val="24"/>
          <w:szCs w:val="24"/>
        </w:rPr>
        <w:t xml:space="preserve">5,90 dirhams par action</w:t>
      </w:r>
      <w:r>
        <w:rPr>
          <w:rFonts w:ascii="Georgia" w:cs="Georgia" w:eastAsia="Georgia" w:hAnsi="Georgia"/>
          <w:sz w:val="24"/>
          <w:szCs w:val="24"/>
        </w:rPr>
        <w:t xml:space="preserve">, témoignant de la confiance de la direction dans la solidité financière de la compagnie et de son engagement envers ses actionnaires.</w:t>
      </w:r>
    </w:p>
    <w:sectPr>
      <w:headerReference w:type="default" r:id="rId6"/>
      <w:footerReference w:type="default" r:id="rId7"/>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120"/>
      <w:jc w:val="center"/>
    </w:pPr>
    <w:r>
      <w:rPr>
        <w:rFonts w:ascii="Arial" w:cs="Arial" w:eastAsia="Arial" w:hAnsi="Arial"/>
        <w:color w:val="999999"/>
        <w:sz w:val="16"/>
        <w:szCs w:val="16"/>
      </w:rPr>
      <w:t xml:space="preserve">Source : Communiqué financier AtlantaSanad — Résultats annuels 2025 (Holmarcom Group) · Réunion du conseil d'administration du 12 mars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6" w:space="1"/>
      </w:pBdr>
      <w:spacing w:after="120"/>
    </w:pPr>
    <w:r>
      <w:rPr>
        <w:rFonts w:ascii="Arial" w:cs="Arial" w:eastAsia="Arial" w:hAnsi="Arial"/>
        <w:b w:val="false"/>
        <w:bCs w:val="false"/>
        <w:color w:val="888888"/>
        <w:sz w:val="18"/>
        <w:szCs w:val="18"/>
      </w:rPr>
      <w:t xml:space="preserve">ASSURANCE · RÉSULTATS ANNUELS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00"/>
      <w:outlineLvl w:val="0"/>
    </w:pPr>
    <w:rPr>
      <w:rFonts w:ascii="Arial" w:cs="Arial" w:eastAsia="Arial" w:hAnsi="Arial"/>
      <w:b/>
      <w:bCs/>
      <w:color w:val="0D1B2A"/>
      <w:sz w:val="40"/>
      <w:szCs w:val="40"/>
    </w:rPr>
  </w:style>
  <w:style w:type="paragraph" w:styleId="Heading2">
    <w:name w:val="Heading 2"/>
    <w:basedOn w:val="Normal"/>
    <w:next w:val="Normal"/>
    <w:qFormat/>
    <w:pPr>
      <w:spacing w:before="300" w:after="120"/>
      <w:outlineLvl w:val="1"/>
    </w:pPr>
    <w:rPr>
      <w:rFonts w:ascii="Arial" w:cs="Arial" w:eastAsia="Arial" w:hAnsi="Arial"/>
      <w:b/>
      <w:bCs/>
      <w:color w:val="1A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2026-03-18T14:55:34.357Z</dcterms:created>
  <dcterms:modified xsi:type="dcterms:W3CDTF">2026-03-18T14:55:34.359Z</dcterms:modified>
</cp:coreProperties>
</file>

<file path=docProps/custom.xml><?xml version="1.0" encoding="utf-8"?>
<Properties xmlns="http://schemas.openxmlformats.org/officeDocument/2006/custom-properties" xmlns:vt="http://schemas.openxmlformats.org/officeDocument/2006/docPropsVTypes"/>
</file>